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科普大篷车年度考核评分标准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仿宋_GB2312" w:hAnsi="黑体" w:eastAsia="仿宋_GB2312"/>
          <w:kern w:val="0"/>
          <w:szCs w:val="21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（满分100分）</w:t>
      </w:r>
    </w:p>
    <w:tbl>
      <w:tblPr>
        <w:tblStyle w:val="3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775"/>
        <w:gridCol w:w="399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考评指标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考评内容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运行保障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1.组织保障（5分）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成立科普大篷车工作队，有专（兼）职人员负责日常工作5分，无0分。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2.制度保障（5分）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制定大篷车管理细则2分；有年度工作方案3分，无0分。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3.经费保障（5分）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专项活动经费5万元及以上5分，3～5万元4分，1～3万元3分，1万元以下2分。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活动情况（40分）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1.进社区、进农村、进学校、进机关、进企事业单位活动次数（25分）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每次1分，总分不超过25分。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2.参与大型主题活动次数（10分）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每次2分，总分不超过10分。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3.参与全省科普大篷车联合行动次数（5分）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每次5分，总分不超过5分。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材料报送（28分）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1.月数据反馈次数（12分）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每月1次及以上，且按时提交12分，月漏报一次扣1分。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2.图片实时上传次数（6分）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kern w:val="0"/>
                <w:sz w:val="24"/>
                <w:szCs w:val="24"/>
              </w:rPr>
              <w:t>2017年以后配发的有北斗设备的车辆每月1次及以上6分，漏传一个月扣0.5分。无北斗设备的车辆不扣分。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3.工作动态上传（10分）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每次1分，总分累计不超过10分。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社会效益（17分）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1.媒体报道次数（10分）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省级以上媒体1次2分，本级媒体1次1分，总分不超过10分。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2.活动受益总人数（7分）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年度总受益人数地市级管理单位5万人次以上计7分，3-5万人次计4分，3万人次以下计1分；县级管理单位2万人次以上7分，1-2万人次计4分，1万人次以下计1分。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47177F9B"/>
    <w:rsid w:val="0F557554"/>
    <w:rsid w:val="47177F9B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2</Pages>
  <Words>547</Words>
  <Characters>583</Characters>
  <Lines>0</Lines>
  <Paragraphs>0</Paragraphs>
  <TotalTime>0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2023-03-24T01:28:00Z</dcterms:created>
  <dc:creator>杨楚瑜</dc:creator>
  <cp:lastModifiedBy>杨楚瑜</cp:lastModifiedBy>
  <dcterms:modified xsi:type="dcterms:W3CDTF">2023-03-24T01:28:29Z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6EB9966C968145BF87FBA8C49914E61B</vt:lpwstr>
  </property>
</Properties>
</file>